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188"/>
        <w:tblW w:w="14489" w:type="dxa"/>
        <w:tblLayout w:type="fixed"/>
        <w:tblLook w:val="0000" w:firstRow="0" w:lastRow="0" w:firstColumn="0" w:lastColumn="0" w:noHBand="0" w:noVBand="0"/>
      </w:tblPr>
      <w:tblGrid>
        <w:gridCol w:w="1708"/>
        <w:gridCol w:w="2556"/>
        <w:gridCol w:w="2556"/>
        <w:gridCol w:w="2556"/>
        <w:gridCol w:w="2557"/>
        <w:gridCol w:w="2556"/>
      </w:tblGrid>
      <w:tr w:rsidR="006F5891" w:rsidRPr="008D622D" w:rsidTr="008D622D">
        <w:trPr>
          <w:trHeight w:val="217"/>
        </w:trPr>
        <w:tc>
          <w:tcPr>
            <w:tcW w:w="1708"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jc w:val="right"/>
              <w:rPr>
                <w:rFonts w:ascii="Calibri" w:hAnsi="Calibri" w:cs="Calibri"/>
                <w:color w:val="000000"/>
                <w:sz w:val="18"/>
                <w:szCs w:val="18"/>
              </w:rPr>
            </w:pPr>
          </w:p>
        </w:tc>
        <w:tc>
          <w:tcPr>
            <w:tcW w:w="2556"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jc w:val="center"/>
              <w:rPr>
                <w:rFonts w:cs="Times New Roman"/>
                <w:color w:val="000000"/>
                <w:sz w:val="18"/>
                <w:szCs w:val="18"/>
              </w:rPr>
            </w:pPr>
            <w:r w:rsidRPr="008D622D">
              <w:rPr>
                <w:rFonts w:cs="Times New Roman"/>
                <w:color w:val="000000"/>
                <w:sz w:val="18"/>
                <w:szCs w:val="18"/>
              </w:rPr>
              <w:t>Excellent (5)</w:t>
            </w:r>
          </w:p>
        </w:tc>
        <w:tc>
          <w:tcPr>
            <w:tcW w:w="2556"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jc w:val="center"/>
              <w:rPr>
                <w:rFonts w:cs="Times New Roman"/>
                <w:color w:val="000000"/>
                <w:sz w:val="18"/>
                <w:szCs w:val="18"/>
              </w:rPr>
            </w:pPr>
            <w:r w:rsidRPr="008D622D">
              <w:rPr>
                <w:rFonts w:cs="Times New Roman"/>
                <w:color w:val="000000"/>
                <w:sz w:val="18"/>
                <w:szCs w:val="18"/>
              </w:rPr>
              <w:t>Above Average (4)</w:t>
            </w:r>
          </w:p>
        </w:tc>
        <w:tc>
          <w:tcPr>
            <w:tcW w:w="2556"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jc w:val="center"/>
              <w:rPr>
                <w:rFonts w:cs="Times New Roman"/>
                <w:color w:val="000000"/>
                <w:sz w:val="18"/>
                <w:szCs w:val="18"/>
              </w:rPr>
            </w:pPr>
            <w:r w:rsidRPr="008D622D">
              <w:rPr>
                <w:rFonts w:cs="Times New Roman"/>
                <w:color w:val="000000"/>
                <w:sz w:val="18"/>
                <w:szCs w:val="18"/>
              </w:rPr>
              <w:t>Average (3)</w:t>
            </w:r>
          </w:p>
        </w:tc>
        <w:tc>
          <w:tcPr>
            <w:tcW w:w="2557"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jc w:val="center"/>
              <w:rPr>
                <w:rFonts w:cs="Times New Roman"/>
                <w:color w:val="000000"/>
                <w:sz w:val="18"/>
                <w:szCs w:val="18"/>
              </w:rPr>
            </w:pPr>
            <w:r w:rsidRPr="008D622D">
              <w:rPr>
                <w:rFonts w:cs="Times New Roman"/>
                <w:color w:val="000000"/>
                <w:sz w:val="18"/>
                <w:szCs w:val="18"/>
              </w:rPr>
              <w:t>Below Average (2)</w:t>
            </w:r>
          </w:p>
        </w:tc>
        <w:tc>
          <w:tcPr>
            <w:tcW w:w="2556"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jc w:val="center"/>
              <w:rPr>
                <w:rFonts w:cs="Times New Roman"/>
                <w:color w:val="000000"/>
                <w:sz w:val="18"/>
                <w:szCs w:val="18"/>
              </w:rPr>
            </w:pPr>
            <w:r w:rsidRPr="008D622D">
              <w:rPr>
                <w:rFonts w:cs="Times New Roman"/>
                <w:color w:val="000000"/>
                <w:sz w:val="18"/>
                <w:szCs w:val="18"/>
              </w:rPr>
              <w:t>Failure (0)</w:t>
            </w:r>
          </w:p>
        </w:tc>
      </w:tr>
      <w:tr w:rsidR="006F5891" w:rsidRPr="008D622D" w:rsidTr="008D622D">
        <w:trPr>
          <w:trHeight w:val="2407"/>
        </w:trPr>
        <w:tc>
          <w:tcPr>
            <w:tcW w:w="1708" w:type="dxa"/>
            <w:tcBorders>
              <w:top w:val="single" w:sz="6" w:space="0" w:color="auto"/>
              <w:left w:val="single" w:sz="6" w:space="0" w:color="auto"/>
              <w:bottom w:val="single" w:sz="6" w:space="0" w:color="auto"/>
              <w:right w:val="single" w:sz="6" w:space="0" w:color="auto"/>
            </w:tcBorders>
          </w:tcPr>
          <w:p w:rsidR="00931D4D" w:rsidRPr="008D622D" w:rsidRDefault="00931D4D" w:rsidP="006F5891">
            <w:pPr>
              <w:autoSpaceDE w:val="0"/>
              <w:autoSpaceDN w:val="0"/>
              <w:adjustRightInd w:val="0"/>
              <w:rPr>
                <w:rFonts w:cs="Times New Roman"/>
                <w:color w:val="000000"/>
                <w:sz w:val="18"/>
                <w:szCs w:val="18"/>
              </w:rPr>
            </w:pPr>
          </w:p>
          <w:p w:rsidR="00931D4D" w:rsidRPr="008D622D" w:rsidRDefault="00931D4D" w:rsidP="006F5891">
            <w:pPr>
              <w:autoSpaceDE w:val="0"/>
              <w:autoSpaceDN w:val="0"/>
              <w:adjustRightInd w:val="0"/>
              <w:rPr>
                <w:rFonts w:cs="Times New Roman"/>
                <w:color w:val="000000"/>
                <w:sz w:val="18"/>
                <w:szCs w:val="18"/>
              </w:rPr>
            </w:pPr>
          </w:p>
          <w:p w:rsidR="00931D4D" w:rsidRPr="008D622D" w:rsidRDefault="00931D4D" w:rsidP="006F5891">
            <w:pPr>
              <w:autoSpaceDE w:val="0"/>
              <w:autoSpaceDN w:val="0"/>
              <w:adjustRightInd w:val="0"/>
              <w:rPr>
                <w:rFonts w:cs="Times New Roman"/>
                <w:color w:val="000000"/>
                <w:sz w:val="18"/>
                <w:szCs w:val="18"/>
              </w:rPr>
            </w:pPr>
          </w:p>
          <w:p w:rsidR="00931D4D" w:rsidRPr="008D622D" w:rsidRDefault="00931D4D"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Writing Convention (Comm.)</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The writing demonstrates exceptionally strong control of standard writing conventions (e.g., punctuation, spelling, capitalization, paragraph breaks, grammar and usage) and uses them effectively to enhance communication.</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The writing demonstrates strong control of standard writing conventions (e.g., punctuation, spelling, capitalization, paragraph breaks, grammar and usage) and uses them effectively to enhance communication. Errors are so few and so minor that they do not impede readability.</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The writing demonstrates control of standard writing conventions (e.g., punctuation, spelling, capitalization, paragraph breaks, grammar and usage). Minor errors, while perhaps noticeable, do not impede readability.</w:t>
            </w:r>
          </w:p>
        </w:tc>
        <w:tc>
          <w:tcPr>
            <w:tcW w:w="2557"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The writing demonstrates limited control of standard writing conventions (e.g., punctuation, spelling, capitalization, paragraph breaks, grammar and usage).  Errors begin to impede readability.</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The writing demonstrates little control of standard writing conventions.  Frequent, significant errors impede readability.</w:t>
            </w:r>
          </w:p>
        </w:tc>
      </w:tr>
      <w:tr w:rsidR="006F5891" w:rsidRPr="008D622D" w:rsidTr="008D622D">
        <w:trPr>
          <w:trHeight w:val="1342"/>
        </w:trPr>
        <w:tc>
          <w:tcPr>
            <w:tcW w:w="1708" w:type="dxa"/>
            <w:tcBorders>
              <w:top w:val="single" w:sz="6" w:space="0" w:color="auto"/>
              <w:left w:val="single" w:sz="6" w:space="0" w:color="auto"/>
              <w:bottom w:val="single" w:sz="6" w:space="0" w:color="auto"/>
              <w:right w:val="single" w:sz="6" w:space="0" w:color="auto"/>
            </w:tcBorders>
          </w:tcPr>
          <w:p w:rsidR="00931D4D" w:rsidRPr="008D622D" w:rsidRDefault="00931D4D" w:rsidP="006F5891">
            <w:pPr>
              <w:autoSpaceDE w:val="0"/>
              <w:autoSpaceDN w:val="0"/>
              <w:adjustRightInd w:val="0"/>
              <w:rPr>
                <w:rFonts w:cs="Times New Roman"/>
                <w:color w:val="000000"/>
                <w:sz w:val="18"/>
                <w:szCs w:val="18"/>
              </w:rPr>
            </w:pPr>
          </w:p>
          <w:p w:rsidR="00931D4D" w:rsidRPr="008D622D" w:rsidRDefault="00931D4D"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Source Citation (Comm.)</w:t>
            </w:r>
          </w:p>
        </w:tc>
        <w:tc>
          <w:tcPr>
            <w:tcW w:w="2556"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Paper includes reference notes and a bibliography.  Each source is complete and follows the proper format for citation style.  Less than 3 errors in citations.</w:t>
            </w:r>
          </w:p>
        </w:tc>
        <w:tc>
          <w:tcPr>
            <w:tcW w:w="2556"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Paper includes reference notes and a bibliography.  Most sources are complete and follow the proper format for citation style. Between 4 – 6 errors in citations.</w:t>
            </w:r>
          </w:p>
        </w:tc>
        <w:tc>
          <w:tcPr>
            <w:tcW w:w="2556"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Paper includes reference notes and a bibliography.  Some sources have complete and follow the proper format for citation style. Between 7 – 9 errors in citations.</w:t>
            </w:r>
          </w:p>
        </w:tc>
        <w:tc>
          <w:tcPr>
            <w:tcW w:w="2557"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Paper includes reference notes and a bibliography.  Few sources are complete and properly formatted.  There are 10 or more errors in citations.</w:t>
            </w:r>
          </w:p>
        </w:tc>
        <w:tc>
          <w:tcPr>
            <w:tcW w:w="2556" w:type="dxa"/>
            <w:tcBorders>
              <w:top w:val="single" w:sz="6" w:space="0" w:color="auto"/>
              <w:left w:val="single" w:sz="6" w:space="0" w:color="auto"/>
              <w:bottom w:val="single" w:sz="6" w:space="0" w:color="auto"/>
              <w:right w:val="single" w:sz="6" w:space="0" w:color="auto"/>
            </w:tcBorders>
          </w:tcPr>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Paper does not include reference notes or bibliography.  Paper may demonstrate signs of plagiarism (inadvertently or intentionally).</w:t>
            </w:r>
          </w:p>
        </w:tc>
      </w:tr>
      <w:tr w:rsidR="006F5891" w:rsidRPr="008D622D" w:rsidTr="008D622D">
        <w:trPr>
          <w:trHeight w:val="2068"/>
        </w:trPr>
        <w:tc>
          <w:tcPr>
            <w:tcW w:w="1708" w:type="dxa"/>
            <w:tcBorders>
              <w:top w:val="single" w:sz="6" w:space="0" w:color="auto"/>
              <w:left w:val="single" w:sz="6" w:space="0" w:color="auto"/>
              <w:bottom w:val="single" w:sz="6" w:space="0" w:color="auto"/>
              <w:right w:val="single" w:sz="6" w:space="0" w:color="auto"/>
            </w:tcBorders>
          </w:tcPr>
          <w:p w:rsidR="00931D4D" w:rsidRPr="008D622D" w:rsidRDefault="00931D4D" w:rsidP="006F5891">
            <w:pPr>
              <w:autoSpaceDE w:val="0"/>
              <w:autoSpaceDN w:val="0"/>
              <w:adjustRightInd w:val="0"/>
              <w:rPr>
                <w:rFonts w:cs="Times New Roman"/>
                <w:color w:val="000000"/>
                <w:sz w:val="18"/>
                <w:szCs w:val="18"/>
              </w:rPr>
            </w:pPr>
          </w:p>
          <w:p w:rsidR="00931D4D" w:rsidRPr="008D622D" w:rsidRDefault="00931D4D"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Analyze and interpret primary and secondary sources.                  (SLO #2; CT)</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All of the requirements listed under “Above Average” plus primary source used to buttress every point with at least one example.</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Provides in-depth analysis and interpretation, drawing insightful conclusions about the relationship between the primary and secondary sources on the same topic.</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Formulates conclusions about the relationship between the primary and secondary sources on the same topic but makes limited reference to the primary sources.</w:t>
            </w:r>
          </w:p>
        </w:tc>
        <w:tc>
          <w:tcPr>
            <w:tcW w:w="2557"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Attempts to draw conclusions about the relationship between the primary and secondary sources on the same topic, but relies mainly on secondary sources.</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Does not effectively analyze or draw conclusions about the relationship between the primary and secondary sources on the same topic.</w:t>
            </w:r>
          </w:p>
        </w:tc>
      </w:tr>
      <w:tr w:rsidR="006F5891" w:rsidRPr="008D622D" w:rsidTr="008D622D">
        <w:trPr>
          <w:trHeight w:val="2068"/>
        </w:trPr>
        <w:tc>
          <w:tcPr>
            <w:tcW w:w="1708" w:type="dxa"/>
            <w:tcBorders>
              <w:top w:val="single" w:sz="6" w:space="0" w:color="auto"/>
              <w:left w:val="single" w:sz="6" w:space="0" w:color="auto"/>
              <w:bottom w:val="single" w:sz="6" w:space="0" w:color="auto"/>
              <w:right w:val="single" w:sz="6" w:space="0" w:color="auto"/>
            </w:tcBorders>
          </w:tcPr>
          <w:p w:rsidR="00864F7B" w:rsidRDefault="00864F7B" w:rsidP="006F5891">
            <w:pPr>
              <w:autoSpaceDE w:val="0"/>
              <w:autoSpaceDN w:val="0"/>
              <w:adjustRightInd w:val="0"/>
              <w:rPr>
                <w:rFonts w:cs="Times New Roman"/>
                <w:color w:val="000000"/>
                <w:sz w:val="18"/>
                <w:szCs w:val="18"/>
              </w:rPr>
            </w:pPr>
          </w:p>
          <w:p w:rsid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 xml:space="preserve">Analyze the effects of historical, social, political, economic, cultural, and global forces on this period of United States history.            </w:t>
            </w: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(SLO #3; CT)</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ascii="Calibri" w:hAnsi="Calibri" w:cs="Calibri"/>
                <w:color w:val="000000"/>
                <w:sz w:val="18"/>
                <w:szCs w:val="18"/>
              </w:rPr>
            </w:pPr>
            <w:r w:rsidRPr="008D622D">
              <w:rPr>
                <w:rFonts w:cs="Times New Roman"/>
                <w:color w:val="000000"/>
                <w:sz w:val="18"/>
                <w:szCs w:val="18"/>
              </w:rPr>
              <w:t>Demonstrates detailed knowledge of contextual dates, persons, and documents, as well as political cultural, social, and international developments for the period under study</w:t>
            </w:r>
            <w:r w:rsidRPr="008D622D">
              <w:rPr>
                <w:rFonts w:ascii="Calibri" w:hAnsi="Calibri" w:cs="Calibri"/>
                <w:color w:val="000000"/>
                <w:sz w:val="18"/>
                <w:szCs w:val="18"/>
              </w:rPr>
              <w:t>.</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ascii="Calibri" w:hAnsi="Calibri" w:cs="Calibri"/>
                <w:color w:val="000000"/>
                <w:sz w:val="18"/>
                <w:szCs w:val="18"/>
              </w:rPr>
            </w:pPr>
            <w:r w:rsidRPr="008D622D">
              <w:rPr>
                <w:rFonts w:cs="Times New Roman"/>
                <w:color w:val="000000"/>
                <w:sz w:val="18"/>
                <w:szCs w:val="18"/>
              </w:rPr>
              <w:t>Demonstrates substantial knowledge of dates, persons, documents, as well as most political, cultural, social and international developments, with minor omissions of necessary facts</w:t>
            </w:r>
            <w:r w:rsidRPr="008D622D">
              <w:rPr>
                <w:rFonts w:ascii="Calibri" w:hAnsi="Calibri" w:cs="Calibri"/>
                <w:color w:val="000000"/>
                <w:sz w:val="18"/>
                <w:szCs w:val="18"/>
              </w:rPr>
              <w:t>.</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ascii="Calibri" w:hAnsi="Calibri" w:cs="Calibri"/>
                <w:color w:val="000000"/>
                <w:sz w:val="18"/>
                <w:szCs w:val="18"/>
              </w:rPr>
            </w:pPr>
            <w:r w:rsidRPr="008D622D">
              <w:rPr>
                <w:rFonts w:cs="Times New Roman"/>
                <w:color w:val="000000"/>
                <w:sz w:val="18"/>
                <w:szCs w:val="18"/>
              </w:rPr>
              <w:t>Demonstrates awareness of some relevant dates, persons, and documents; significant relevant developments omitted or inadequately discussed</w:t>
            </w:r>
            <w:r w:rsidRPr="008D622D">
              <w:rPr>
                <w:rFonts w:ascii="Calibri" w:hAnsi="Calibri" w:cs="Calibri"/>
                <w:color w:val="000000"/>
                <w:sz w:val="18"/>
                <w:szCs w:val="18"/>
              </w:rPr>
              <w:t>.</w:t>
            </w:r>
          </w:p>
        </w:tc>
        <w:tc>
          <w:tcPr>
            <w:tcW w:w="2557"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ascii="Calibri" w:hAnsi="Calibri" w:cs="Calibri"/>
                <w:color w:val="000000"/>
                <w:sz w:val="18"/>
                <w:szCs w:val="18"/>
              </w:rPr>
            </w:pPr>
            <w:r w:rsidRPr="008D622D">
              <w:rPr>
                <w:rFonts w:cs="Times New Roman"/>
                <w:color w:val="000000"/>
                <w:sz w:val="18"/>
                <w:szCs w:val="18"/>
              </w:rPr>
              <w:t>Little reference to relevant dates and developments apart from those in the main narrative; some mistakes in historical facts; serious contextual omissions</w:t>
            </w:r>
            <w:r w:rsidRPr="008D622D">
              <w:rPr>
                <w:rFonts w:ascii="Calibri" w:hAnsi="Calibri" w:cs="Calibri"/>
                <w:color w:val="000000"/>
                <w:sz w:val="18"/>
                <w:szCs w:val="18"/>
              </w:rPr>
              <w:t>.</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Many mistakes in historical facts; more relevant facts omitted than included; no discussion of key developments of the period under study</w:t>
            </w:r>
          </w:p>
        </w:tc>
      </w:tr>
      <w:tr w:rsidR="006F5891" w:rsidRPr="008D622D" w:rsidTr="008D622D">
        <w:trPr>
          <w:trHeight w:val="2068"/>
        </w:trPr>
        <w:tc>
          <w:tcPr>
            <w:tcW w:w="1708" w:type="dxa"/>
            <w:tcBorders>
              <w:top w:val="single" w:sz="6" w:space="0" w:color="auto"/>
              <w:left w:val="single" w:sz="6" w:space="0" w:color="auto"/>
              <w:bottom w:val="single" w:sz="6" w:space="0" w:color="auto"/>
              <w:right w:val="single" w:sz="6" w:space="0" w:color="auto"/>
            </w:tcBorders>
          </w:tcPr>
          <w:p w:rsidR="00931D4D" w:rsidRPr="008D622D" w:rsidRDefault="00931D4D" w:rsidP="006F5891">
            <w:pPr>
              <w:autoSpaceDE w:val="0"/>
              <w:autoSpaceDN w:val="0"/>
              <w:adjustRightInd w:val="0"/>
              <w:rPr>
                <w:rFonts w:cs="Times New Roman"/>
                <w:color w:val="000000"/>
                <w:sz w:val="18"/>
                <w:szCs w:val="18"/>
              </w:rPr>
            </w:pPr>
          </w:p>
          <w:p w:rsidR="00931D4D" w:rsidRPr="008D622D" w:rsidRDefault="00931D4D"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Evaluation and Synthesis of information      (SLO #1; CT)</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The evaluation of information is thorough, taking into account the complexities of an issue, while acknowledging limits and synthesizing other points of view.</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The evaluation of information is sufficient, taking into account some complexities of an issue, while acknowledging some limits and synthesizing other points of view.</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The evaluation of information is incomplete, not taking into account the complexities of an issue.</w:t>
            </w:r>
          </w:p>
        </w:tc>
        <w:tc>
          <w:tcPr>
            <w:tcW w:w="2557"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The evaluation of information is simplistic, obvious, or has limited relevance.</w:t>
            </w:r>
          </w:p>
        </w:tc>
        <w:tc>
          <w:tcPr>
            <w:tcW w:w="2556" w:type="dxa"/>
            <w:tcBorders>
              <w:top w:val="single" w:sz="6" w:space="0" w:color="auto"/>
              <w:left w:val="single" w:sz="6" w:space="0" w:color="auto"/>
              <w:bottom w:val="single" w:sz="6" w:space="0" w:color="auto"/>
              <w:right w:val="single" w:sz="6" w:space="0" w:color="auto"/>
            </w:tcBorders>
          </w:tcPr>
          <w:p w:rsidR="00266084" w:rsidRPr="008D622D" w:rsidRDefault="00266084" w:rsidP="006F5891">
            <w:pPr>
              <w:autoSpaceDE w:val="0"/>
              <w:autoSpaceDN w:val="0"/>
              <w:adjustRightInd w:val="0"/>
              <w:rPr>
                <w:rFonts w:cs="Times New Roman"/>
                <w:color w:val="000000"/>
                <w:sz w:val="18"/>
                <w:szCs w:val="18"/>
              </w:rPr>
            </w:pPr>
          </w:p>
          <w:p w:rsidR="006F5891" w:rsidRPr="008D622D" w:rsidRDefault="006F5891" w:rsidP="006F5891">
            <w:pPr>
              <w:autoSpaceDE w:val="0"/>
              <w:autoSpaceDN w:val="0"/>
              <w:adjustRightInd w:val="0"/>
              <w:rPr>
                <w:rFonts w:cs="Times New Roman"/>
                <w:color w:val="000000"/>
                <w:sz w:val="18"/>
                <w:szCs w:val="18"/>
              </w:rPr>
            </w:pPr>
            <w:r w:rsidRPr="008D622D">
              <w:rPr>
                <w:rFonts w:cs="Times New Roman"/>
                <w:color w:val="000000"/>
                <w:sz w:val="18"/>
                <w:szCs w:val="18"/>
              </w:rPr>
              <w:t>No evaluation of information is provided.</w:t>
            </w:r>
          </w:p>
        </w:tc>
      </w:tr>
    </w:tbl>
    <w:p w:rsidR="00FA0508" w:rsidRPr="006F5891" w:rsidRDefault="006F5891" w:rsidP="006F5891">
      <w:pPr>
        <w:jc w:val="center"/>
        <w:rPr>
          <w:b/>
        </w:rPr>
      </w:pPr>
      <w:r>
        <w:rPr>
          <w:b/>
        </w:rPr>
        <w:t>HISTORY ASSESSMENT – ASSIGNMENT 1 (</w:t>
      </w:r>
      <w:r w:rsidR="004A0368">
        <w:rPr>
          <w:b/>
        </w:rPr>
        <w:t>critical thinking, communication, program/course SLOs</w:t>
      </w:r>
      <w:bookmarkStart w:id="0" w:name="_GoBack"/>
      <w:bookmarkEnd w:id="0"/>
      <w:r>
        <w:rPr>
          <w:b/>
        </w:rPr>
        <w:t>)</w:t>
      </w:r>
    </w:p>
    <w:sectPr w:rsidR="00FA0508" w:rsidRPr="006F5891" w:rsidSect="006F5891">
      <w:pgSz w:w="1584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891"/>
    <w:rsid w:val="00266084"/>
    <w:rsid w:val="004A0368"/>
    <w:rsid w:val="005B026F"/>
    <w:rsid w:val="006F5891"/>
    <w:rsid w:val="00864F7B"/>
    <w:rsid w:val="008D622D"/>
    <w:rsid w:val="00931D4D"/>
    <w:rsid w:val="00C1711A"/>
    <w:rsid w:val="00CF25AA"/>
    <w:rsid w:val="00FA0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5333B"/>
  <w15:chartTrackingRefBased/>
  <w15:docId w15:val="{364E0DED-D122-462E-A6B8-53F9A403F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1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1D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D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CC22B-8AA9-4367-BA93-806083818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Blinn College</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Born</dc:creator>
  <cp:keywords/>
  <dc:description/>
  <cp:lastModifiedBy>Thomas Born</cp:lastModifiedBy>
  <cp:revision>5</cp:revision>
  <cp:lastPrinted>2019-03-28T18:52:00Z</cp:lastPrinted>
  <dcterms:created xsi:type="dcterms:W3CDTF">2019-03-28T18:43:00Z</dcterms:created>
  <dcterms:modified xsi:type="dcterms:W3CDTF">2019-03-28T19:35:00Z</dcterms:modified>
</cp:coreProperties>
</file>